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4E" w:rsidRDefault="00B40B4E"/>
    <w:p w:rsidR="00B40B4E" w:rsidRPr="003B0DF6" w:rsidRDefault="003B0DF6" w:rsidP="003B0DF6">
      <w:pPr>
        <w:pStyle w:val="ListParagraph"/>
        <w:numPr>
          <w:ilvl w:val="0"/>
          <w:numId w:val="3"/>
        </w:numPr>
        <w:rPr>
          <w:b/>
          <w:sz w:val="40"/>
        </w:rPr>
      </w:pPr>
      <w:r w:rsidRPr="003B0DF6">
        <w:rPr>
          <w:b/>
          <w:sz w:val="40"/>
        </w:rPr>
        <w:t>From CISCO:</w:t>
      </w:r>
    </w:p>
    <w:p w:rsidR="00B40B4E" w:rsidRDefault="00B40B4E"/>
    <w:p w:rsidR="00A3273C" w:rsidRDefault="00B40B4E">
      <w:r>
        <w:rPr>
          <w:noProof/>
        </w:rPr>
        <w:drawing>
          <wp:inline distT="0" distB="0" distL="0" distR="0">
            <wp:extent cx="5943600" cy="44125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4E" w:rsidRPr="003B0DF6" w:rsidRDefault="003B0DF6" w:rsidP="003B0DF6">
      <w:pPr>
        <w:pStyle w:val="ListParagraph"/>
        <w:numPr>
          <w:ilvl w:val="0"/>
          <w:numId w:val="2"/>
        </w:numPr>
        <w:rPr>
          <w:b/>
          <w:sz w:val="36"/>
        </w:rPr>
      </w:pPr>
      <w:r w:rsidRPr="003B0DF6">
        <w:rPr>
          <w:b/>
          <w:sz w:val="36"/>
        </w:rPr>
        <w:t>From TNC:</w:t>
      </w:r>
    </w:p>
    <w:p w:rsidR="00B40B4E" w:rsidRDefault="00B40B4E" w:rsidP="00B40B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What are some attributes of TNC?</w:t>
      </w:r>
    </w:p>
    <w:p w:rsidR="00B40B4E" w:rsidRDefault="00B40B4E" w:rsidP="001E3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TNC is based on the twin concepts of </w:t>
      </w:r>
      <w:r w:rsidRPr="001E3FA4">
        <w:rPr>
          <w:rFonts w:ascii="Arial" w:hAnsi="Arial" w:cs="Arial"/>
          <w:color w:val="FF0000"/>
          <w:sz w:val="20"/>
          <w:szCs w:val="20"/>
        </w:rPr>
        <w:t>integrity and identity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Integrity </w:t>
      </w:r>
      <w:r>
        <w:rPr>
          <w:rFonts w:ascii="Arial" w:hAnsi="Arial" w:cs="Arial"/>
          <w:sz w:val="20"/>
          <w:szCs w:val="20"/>
        </w:rPr>
        <w:t>is used in this case to describe the desired</w:t>
      </w:r>
      <w:r w:rsidR="001E3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 of an endpoint’s “health” or configuration, as defined by IT policies. Examples might be to check if the</w:t>
      </w:r>
      <w:r w:rsidR="001E3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system adheres to pre-determined policies and determine the system is not engaged in unusual or malicious</w:t>
      </w:r>
      <w:r w:rsidR="001E3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behavior.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Identity </w:t>
      </w:r>
      <w:r>
        <w:rPr>
          <w:rFonts w:ascii="Arial" w:hAnsi="Arial" w:cs="Arial"/>
          <w:sz w:val="20"/>
          <w:szCs w:val="20"/>
        </w:rPr>
        <w:t>ensures that systems are authenticated for authorized users only.</w:t>
      </w:r>
    </w:p>
    <w:p w:rsidR="006D2D04" w:rsidRDefault="006D2D04" w:rsidP="00B40B4E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TNC specifications will also define interoperability interfaces to allow for the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exchange of new types of attributes in the context of network access control solutions. Those</w:t>
      </w:r>
    </w:p>
    <w:p w:rsidR="006D2D04" w:rsidRPr="001E3FA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attributes will include </w:t>
      </w:r>
      <w:r w:rsidRPr="001E3FA4">
        <w:rPr>
          <w:rFonts w:ascii="Arial" w:hAnsi="Arial" w:cs="Arial"/>
          <w:color w:val="FF0000"/>
          <w:sz w:val="20"/>
          <w:szCs w:val="20"/>
        </w:rPr>
        <w:t>endpoint compliance information, software state attestation, as well as</w:t>
      </w:r>
    </w:p>
    <w:p w:rsidR="006D2D04" w:rsidRPr="001E3FA4" w:rsidRDefault="006D2D04" w:rsidP="006D2D04">
      <w:pPr>
        <w:rPr>
          <w:rFonts w:ascii="Arial" w:hAnsi="Arial" w:cs="Arial"/>
          <w:color w:val="FF0000"/>
          <w:sz w:val="20"/>
          <w:szCs w:val="20"/>
        </w:rPr>
      </w:pPr>
      <w:r w:rsidRPr="001E3FA4">
        <w:rPr>
          <w:rFonts w:ascii="Arial" w:hAnsi="Arial" w:cs="Arial"/>
          <w:color w:val="FF0000"/>
          <w:sz w:val="20"/>
          <w:szCs w:val="20"/>
        </w:rPr>
        <w:t>information pertaining to the Platform-Authentication exchange [2].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Here, the TNC Architecture seeks to provide a richer set of security attributes for use in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authorization policies. Thus, a Requestor can be given or denied network access based on a set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 finer grain rules that peer deeper into the Requestor’s system state. In this way, a AAA Server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provide authorization to a Client not only on the basis of the Client’s network-related</w:t>
      </w:r>
    </w:p>
    <w:p w:rsidR="006D2D04" w:rsidRPr="001E3FA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attributes (e.g. </w:t>
      </w:r>
      <w:r w:rsidRPr="001E3FA4">
        <w:rPr>
          <w:rFonts w:ascii="Arial" w:hAnsi="Arial" w:cs="Arial"/>
          <w:color w:val="FF0000"/>
          <w:sz w:val="20"/>
          <w:szCs w:val="20"/>
        </w:rPr>
        <w:t>IP address, domain</w:t>
      </w:r>
      <w:r>
        <w:rPr>
          <w:rFonts w:ascii="Arial" w:hAnsi="Arial" w:cs="Arial"/>
          <w:sz w:val="20"/>
          <w:szCs w:val="20"/>
        </w:rPr>
        <w:t xml:space="preserve">) and user-related attributes (e.g. </w:t>
      </w:r>
      <w:r w:rsidRPr="001E3FA4">
        <w:rPr>
          <w:rFonts w:ascii="Arial" w:hAnsi="Arial" w:cs="Arial"/>
          <w:color w:val="FF0000"/>
          <w:sz w:val="20"/>
          <w:szCs w:val="20"/>
        </w:rPr>
        <w:t>user password, user</w:t>
      </w:r>
    </w:p>
    <w:p w:rsidR="006D2D04" w:rsidRPr="001E3FA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1E3FA4">
        <w:rPr>
          <w:rFonts w:ascii="Arial" w:hAnsi="Arial" w:cs="Arial"/>
          <w:color w:val="FF0000"/>
          <w:sz w:val="20"/>
          <w:szCs w:val="20"/>
        </w:rPr>
        <w:t>certificate</w:t>
      </w:r>
      <w:r>
        <w:rPr>
          <w:rFonts w:ascii="Arial" w:hAnsi="Arial" w:cs="Arial"/>
          <w:sz w:val="20"/>
          <w:szCs w:val="20"/>
        </w:rPr>
        <w:t xml:space="preserve">), but also on the Client platform integrity state (e.g. </w:t>
      </w:r>
      <w:r w:rsidRPr="001E3FA4">
        <w:rPr>
          <w:rFonts w:ascii="Arial" w:hAnsi="Arial" w:cs="Arial"/>
          <w:color w:val="FF0000"/>
          <w:sz w:val="20"/>
          <w:szCs w:val="20"/>
        </w:rPr>
        <w:t>hardware configuration, BIOS,</w:t>
      </w:r>
    </w:p>
    <w:p w:rsidR="006D2D04" w:rsidRPr="001E3FA4" w:rsidRDefault="006D2D04" w:rsidP="006D2D04">
      <w:pPr>
        <w:rPr>
          <w:rFonts w:ascii="Arial" w:hAnsi="Arial" w:cs="Arial"/>
          <w:color w:val="FF0000"/>
          <w:sz w:val="20"/>
          <w:szCs w:val="20"/>
        </w:rPr>
      </w:pPr>
      <w:r w:rsidRPr="001E3FA4">
        <w:rPr>
          <w:rFonts w:ascii="Arial" w:hAnsi="Arial" w:cs="Arial"/>
          <w:color w:val="FF0000"/>
          <w:sz w:val="20"/>
          <w:szCs w:val="20"/>
        </w:rPr>
        <w:t>Kernel versions, OS patch level, Anti-Virus signatures, etc).</w:t>
      </w: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 growing popularity of EAP as a way to allow various authentication methods to be used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the AR (i.e. client, EAP-Peer or Supplicant) and PDP (Authentication Server),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extensions have thus been defined in RFC3579 for RADIUS itself to support EAP. The aim of the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extensions is to use RADIUS to shuttle RADIUS-encapsulated EAP packets between the AR (or</w:t>
      </w:r>
    </w:p>
    <w:p w:rsidR="006D2D04" w:rsidRDefault="006D2D04" w:rsidP="006D2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 in the TNC Architecture) and the PDP Two new attributes that were introduced into RADIUS</w:t>
      </w:r>
    </w:p>
    <w:p w:rsidR="006D2D04" w:rsidRDefault="006D2D04" w:rsidP="006D2D0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RFC3579 to achieve this are the </w:t>
      </w:r>
      <w:r w:rsidRPr="001E3FA4">
        <w:rPr>
          <w:rFonts w:ascii="Arial" w:hAnsi="Arial" w:cs="Arial"/>
          <w:color w:val="FF0000"/>
          <w:sz w:val="20"/>
          <w:szCs w:val="20"/>
        </w:rPr>
        <w:t>EAP-Message and Message-Authenticator attributes.</w:t>
      </w:r>
    </w:p>
    <w:p w:rsidR="001E3FA4" w:rsidRDefault="001E3FA4" w:rsidP="006D2D04">
      <w:pPr>
        <w:rPr>
          <w:rFonts w:ascii="Arial" w:hAnsi="Arial" w:cs="Arial"/>
          <w:color w:val="FF0000"/>
          <w:sz w:val="20"/>
          <w:szCs w:val="20"/>
        </w:rPr>
      </w:pPr>
    </w:p>
    <w:p w:rsidR="001E3FA4" w:rsidRDefault="001E3FA4" w:rsidP="006D2D04">
      <w:pPr>
        <w:rPr>
          <w:rFonts w:ascii="Arial" w:hAnsi="Arial" w:cs="Arial"/>
          <w:color w:val="FF0000"/>
          <w:sz w:val="20"/>
          <w:szCs w:val="20"/>
        </w:rPr>
      </w:pPr>
    </w:p>
    <w:p w:rsidR="003B0DF6" w:rsidRPr="003B0DF6" w:rsidRDefault="003B0DF6" w:rsidP="003B0D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6"/>
          <w:szCs w:val="20"/>
        </w:rPr>
      </w:pPr>
      <w:r w:rsidRPr="003B0DF6">
        <w:rPr>
          <w:rFonts w:ascii="Arial" w:hAnsi="Arial" w:cs="Arial"/>
          <w:b/>
          <w:sz w:val="36"/>
          <w:szCs w:val="20"/>
        </w:rPr>
        <w:t>From En</w:t>
      </w:r>
      <w:r>
        <w:rPr>
          <w:rFonts w:ascii="Arial" w:hAnsi="Arial" w:cs="Arial"/>
          <w:b/>
          <w:sz w:val="36"/>
          <w:szCs w:val="20"/>
        </w:rPr>
        <w:t>cyclopedia</w:t>
      </w:r>
      <w:r w:rsidRPr="003B0DF6">
        <w:rPr>
          <w:rFonts w:ascii="Arial" w:hAnsi="Arial" w:cs="Arial"/>
          <w:b/>
          <w:sz w:val="36"/>
          <w:szCs w:val="20"/>
        </w:rPr>
        <w:t>:</w:t>
      </w:r>
    </w:p>
    <w:p w:rsidR="001E3FA4" w:rsidRDefault="003B0DF6" w:rsidP="006D2D0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1E3FA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E3FA4" w:rsidRPr="001E3FA4" w:rsidRDefault="001E3FA4" w:rsidP="001E3FA4">
      <w:pPr>
        <w:pBdr>
          <w:bottom w:val="single" w:sz="6" w:space="2" w:color="AAAAAA"/>
        </w:pBdr>
        <w:shd w:val="clear" w:color="auto" w:fill="F8FC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/>
        </w:rPr>
      </w:pPr>
      <w:r w:rsidRPr="001E3FA4">
        <w:rPr>
          <w:rFonts w:ascii="Arial" w:eastAsia="Times New Roman" w:hAnsi="Arial" w:cs="Arial"/>
          <w:color w:val="000000"/>
          <w:sz w:val="38"/>
          <w:lang/>
        </w:rPr>
        <w:t>Attributes of a secure network</w:t>
      </w:r>
    </w:p>
    <w:p w:rsidR="001E3FA4" w:rsidRPr="001E3FA4" w:rsidRDefault="001E3FA4" w:rsidP="001E3FA4">
      <w:pPr>
        <w:shd w:val="clear" w:color="auto" w:fill="F8FC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Network security starts from </w:t>
      </w:r>
      <w:hyperlink r:id="rId6" w:tooltip="Authentication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authenticating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any user, most likely an username and a password. Once authenticated, </w:t>
      </w:r>
      <w:hyperlink r:id="rId7" w:tooltip="Firewall (networking)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firewall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enforces access policies such as what services are allowed to be accessed by the network users.</w:t>
      </w:r>
      <w:hyperlink r:id="rId8" w:anchor="cite_note-0" w:tooltip="" w:history="1">
        <w:r w:rsidRPr="001E3FA4">
          <w:rPr>
            <w:rFonts w:ascii="Arial" w:eastAsia="Times New Roman" w:hAnsi="Arial" w:cs="Arial"/>
            <w:color w:val="002BB8"/>
            <w:sz w:val="25"/>
            <w:vertAlign w:val="superscript"/>
            <w:lang/>
          </w:rPr>
          <w:t>[1]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Though effective to prevent unauthorized access, this component fails to check potentially harmful contents such as </w:t>
      </w:r>
      <w:hyperlink r:id="rId9" w:tooltip="Computer worm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computer worms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being transmitted over the network. An </w:t>
      </w:r>
      <w:hyperlink r:id="rId10" w:tooltip="Intrusion prevention system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intrusion prevention system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(IPS)</w:t>
      </w:r>
      <w:hyperlink r:id="rId11" w:anchor="cite_note-1" w:tooltip="" w:history="1">
        <w:r w:rsidRPr="001E3FA4">
          <w:rPr>
            <w:rFonts w:ascii="Arial" w:eastAsia="Times New Roman" w:hAnsi="Arial" w:cs="Arial"/>
            <w:color w:val="002BB8"/>
            <w:sz w:val="25"/>
            <w:vertAlign w:val="superscript"/>
            <w:lang/>
          </w:rPr>
          <w:t>[2]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helps detect and prevent such </w:t>
      </w:r>
      <w:hyperlink r:id="rId12" w:tooltip="Malware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malware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. IPS also </w:t>
      </w:r>
      <w:hyperlink r:id="rId13" w:tooltip="Deep packet inspection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monitors for suspicious network traffic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for contents, volume and </w:t>
      </w:r>
      <w:hyperlink r:id="rId14" w:tooltip="Anomaly-based intrusion detection system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anomalies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to protect the network from attacks such as </w:t>
      </w:r>
      <w:hyperlink r:id="rId15" w:tooltip="Denial of service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denial of service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. Communication between two hosts using the network could be encrypted to </w:t>
      </w:r>
      <w:hyperlink r:id="rId16" w:tooltip="Virtual private network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maintain privacy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>. Individual events occurring on the network could be tracked for audit purposes and for a later high level analysis.</w:t>
      </w:r>
    </w:p>
    <w:p w:rsidR="001E3FA4" w:rsidRPr="001E3FA4" w:rsidRDefault="001E3FA4" w:rsidP="001E3FA4">
      <w:pPr>
        <w:shd w:val="clear" w:color="auto" w:fill="F8FCFF"/>
        <w:spacing w:before="96" w:after="144" w:line="360" w:lineRule="atLeast"/>
        <w:rPr>
          <w:rFonts w:ascii="Arial" w:eastAsia="Times New Roman" w:hAnsi="Arial" w:cs="Arial"/>
          <w:color w:val="000000"/>
          <w:sz w:val="25"/>
          <w:szCs w:val="25"/>
          <w:lang/>
        </w:rPr>
      </w:pPr>
      <w:hyperlink r:id="rId17" w:tooltip="Honeypot (computing)" w:history="1">
        <w:r w:rsidRPr="001E3FA4">
          <w:rPr>
            <w:rFonts w:ascii="Arial" w:eastAsia="Times New Roman" w:hAnsi="Arial" w:cs="Arial"/>
            <w:i/>
            <w:iCs/>
            <w:color w:val="002BB8"/>
            <w:sz w:val="25"/>
            <w:lang/>
          </w:rPr>
          <w:t>Honeypots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, essentially </w:t>
      </w:r>
      <w:hyperlink r:id="rId18" w:tooltip="Decoy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decoy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network-accessible resources, could be deployed in a network as surveillance and early-warning tools. Techniques used by the attackers that attempt to compromise these decoy resources are studied during and after an attack to keep an eye on new </w:t>
      </w:r>
      <w:hyperlink r:id="rId19" w:tooltip="Exploit (computer security)" w:history="1">
        <w:r w:rsidRPr="001E3FA4">
          <w:rPr>
            <w:rFonts w:ascii="Arial" w:eastAsia="Times New Roman" w:hAnsi="Arial" w:cs="Arial"/>
            <w:color w:val="002BB8"/>
            <w:sz w:val="25"/>
            <w:lang/>
          </w:rPr>
          <w:t>exploitation</w:t>
        </w:r>
      </w:hyperlink>
      <w:r w:rsidRPr="001E3FA4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techniques. Such analysis could be used to further tighten security of the actual network being protected by the honeypot.</w:t>
      </w:r>
      <w:hyperlink r:id="rId20" w:anchor="cite_note-2" w:tooltip="" w:history="1">
        <w:r w:rsidRPr="001E3FA4">
          <w:rPr>
            <w:rFonts w:ascii="Arial" w:eastAsia="Times New Roman" w:hAnsi="Arial" w:cs="Arial"/>
            <w:color w:val="002BB8"/>
            <w:sz w:val="25"/>
            <w:vertAlign w:val="superscript"/>
            <w:lang/>
          </w:rPr>
          <w:t>[3]</w:t>
        </w:r>
      </w:hyperlink>
    </w:p>
    <w:p w:rsidR="001E3FA4" w:rsidRDefault="001E3FA4" w:rsidP="006D2D04">
      <w:pPr>
        <w:rPr>
          <w:rFonts w:ascii="Arial" w:hAnsi="Arial" w:cs="Arial"/>
          <w:color w:val="FF0000"/>
          <w:sz w:val="20"/>
          <w:szCs w:val="20"/>
        </w:rPr>
      </w:pPr>
    </w:p>
    <w:p w:rsidR="003B0DF6" w:rsidRPr="003B0DF6" w:rsidRDefault="003B0DF6" w:rsidP="003B0DF6">
      <w:pPr>
        <w:pStyle w:val="Heading2"/>
        <w:numPr>
          <w:ilvl w:val="0"/>
          <w:numId w:val="2"/>
        </w:numPr>
        <w:rPr>
          <w:sz w:val="36"/>
        </w:rPr>
      </w:pPr>
      <w:r w:rsidRPr="003B0DF6">
        <w:rPr>
          <w:sz w:val="36"/>
        </w:rPr>
        <w:lastRenderedPageBreak/>
        <w:t xml:space="preserve">From </w:t>
      </w:r>
      <w:r w:rsidR="00A2250B" w:rsidRPr="003B0DF6">
        <w:rPr>
          <w:sz w:val="36"/>
        </w:rPr>
        <w:t xml:space="preserve">Sun- </w:t>
      </w:r>
    </w:p>
    <w:p w:rsidR="00A2250B" w:rsidRDefault="00A2250B" w:rsidP="00A2250B">
      <w:pPr>
        <w:pStyle w:val="Heading2"/>
      </w:pPr>
      <w:r>
        <w:t>Trusted Network Security Attributes</w:t>
      </w:r>
    </w:p>
    <w:p w:rsidR="00A2250B" w:rsidRDefault="00A2250B" w:rsidP="00A2250B">
      <w:pPr>
        <w:pStyle w:val="NormalWeb"/>
      </w:pPr>
      <w:r>
        <w:t>Network administration in Trusted Extensions is based on security templates. A security template describes a set of hosts that have common protocols and identical security attributes.</w:t>
      </w:r>
    </w:p>
    <w:p w:rsidR="00A2250B" w:rsidRPr="003B0DF6" w:rsidRDefault="00A2250B" w:rsidP="00A2250B">
      <w:pPr>
        <w:pStyle w:val="NormalWeb"/>
        <w:rPr>
          <w:color w:val="FF0000"/>
        </w:rPr>
      </w:pPr>
      <w:r w:rsidRPr="003B0DF6">
        <w:rPr>
          <w:color w:val="FF0000"/>
        </w:rPr>
        <w:t>Security attributes are administratively assigned to systems, both hosts and routers, by means of templates. The security administrator administers templates and assigns them to systems. If a system does not have an assigned template, no communications are allowed with that system.</w:t>
      </w:r>
    </w:p>
    <w:p w:rsidR="00A2250B" w:rsidRPr="003B0DF6" w:rsidRDefault="00A2250B" w:rsidP="00A2250B">
      <w:pPr>
        <w:pStyle w:val="NormalWeb"/>
        <w:rPr>
          <w:color w:val="FF0000"/>
        </w:rPr>
      </w:pPr>
      <w:bookmarkStart w:id="0" w:name=""/>
      <w:bookmarkEnd w:id="0"/>
      <w:r w:rsidRPr="003B0DF6">
        <w:rPr>
          <w:color w:val="FF0000"/>
        </w:rPr>
        <w:t>Every template is named, and includes the following:</w:t>
      </w:r>
    </w:p>
    <w:p w:rsidR="00A2250B" w:rsidRPr="003B0DF6" w:rsidRDefault="00A2250B" w:rsidP="00A2250B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ind w:left="390"/>
        <w:rPr>
          <w:color w:val="FF0000"/>
        </w:rPr>
      </w:pPr>
      <w:r w:rsidRPr="003B0DF6">
        <w:rPr>
          <w:color w:val="FF0000"/>
        </w:rPr>
        <w:t>A host type of either Unlabeled or CIPSO. The protocol that is used for network communications is determined by the host type of the template.</w:t>
      </w:r>
    </w:p>
    <w:p w:rsidR="00A2250B" w:rsidRPr="003B0DF6" w:rsidRDefault="00A2250B" w:rsidP="00A2250B">
      <w:pPr>
        <w:pStyle w:val="NormalWeb"/>
        <w:ind w:left="390"/>
        <w:rPr>
          <w:color w:val="FF0000"/>
        </w:rPr>
      </w:pPr>
      <w:r w:rsidRPr="003B0DF6">
        <w:rPr>
          <w:color w:val="FF0000"/>
        </w:rPr>
        <w:t xml:space="preserve">The host type is used to determine whether to use CIPSO options and affects MAC. </w:t>
      </w:r>
      <w:proofErr w:type="gramStart"/>
      <w:r w:rsidRPr="003B0DF6">
        <w:rPr>
          <w:color w:val="FF0000"/>
        </w:rPr>
        <w:t xml:space="preserve">See </w:t>
      </w:r>
      <w:hyperlink r:id="rId21" w:history="1">
        <w:r w:rsidRPr="003B0DF6">
          <w:rPr>
            <w:rStyle w:val="Hyperlink"/>
            <w:color w:val="FF0000"/>
          </w:rPr>
          <w:t>Host Type and Template Name in Security Templates</w:t>
        </w:r>
      </w:hyperlink>
      <w:r w:rsidRPr="003B0DF6">
        <w:rPr>
          <w:color w:val="FF0000"/>
        </w:rPr>
        <w:t>.</w:t>
      </w:r>
      <w:proofErr w:type="gramEnd"/>
    </w:p>
    <w:p w:rsidR="00A2250B" w:rsidRPr="003B0DF6" w:rsidRDefault="00A2250B" w:rsidP="00A2250B">
      <w:pPr>
        <w:pStyle w:val="NormalWeb"/>
        <w:numPr>
          <w:ilvl w:val="0"/>
          <w:numId w:val="1"/>
        </w:numPr>
        <w:spacing w:before="100" w:beforeAutospacing="1" w:after="100" w:afterAutospacing="1" w:line="240" w:lineRule="auto"/>
        <w:ind w:left="390"/>
        <w:rPr>
          <w:color w:val="FF0000"/>
        </w:rPr>
      </w:pPr>
      <w:r w:rsidRPr="003B0DF6">
        <w:rPr>
          <w:color w:val="FF0000"/>
        </w:rPr>
        <w:t>A set of security attributes that are applied to each host type.</w:t>
      </w:r>
    </w:p>
    <w:p w:rsidR="001E3FA4" w:rsidRDefault="001E3FA4" w:rsidP="006D2D04">
      <w:pPr>
        <w:rPr>
          <w:rFonts w:ascii="Arial" w:hAnsi="Arial" w:cs="Arial"/>
          <w:color w:val="FF0000"/>
          <w:sz w:val="20"/>
          <w:szCs w:val="20"/>
        </w:rPr>
      </w:pPr>
    </w:p>
    <w:p w:rsidR="001E3FA4" w:rsidRPr="001E3FA4" w:rsidRDefault="001E3FA4" w:rsidP="006D2D04">
      <w:pPr>
        <w:rPr>
          <w:rFonts w:ascii="Arial" w:hAnsi="Arial" w:cs="Arial"/>
          <w:color w:val="FF0000"/>
          <w:sz w:val="20"/>
          <w:szCs w:val="20"/>
        </w:rPr>
      </w:pP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6D2D04">
      <w:pPr>
        <w:rPr>
          <w:rFonts w:ascii="Arial" w:hAnsi="Arial" w:cs="Arial"/>
          <w:sz w:val="20"/>
          <w:szCs w:val="20"/>
        </w:rPr>
      </w:pPr>
    </w:p>
    <w:p w:rsidR="006D2D04" w:rsidRDefault="006D2D04" w:rsidP="00B40B4E"/>
    <w:sectPr w:rsidR="006D2D04" w:rsidSect="00A32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4A375B57"/>
    <w:multiLevelType w:val="hybridMultilevel"/>
    <w:tmpl w:val="C0B2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95F6A"/>
    <w:multiLevelType w:val="hybridMultilevel"/>
    <w:tmpl w:val="752A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4477"/>
    <w:multiLevelType w:val="multilevel"/>
    <w:tmpl w:val="92F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B4E"/>
    <w:rsid w:val="000015DD"/>
    <w:rsid w:val="00021F12"/>
    <w:rsid w:val="000417F7"/>
    <w:rsid w:val="000424B9"/>
    <w:rsid w:val="00047933"/>
    <w:rsid w:val="00054FB3"/>
    <w:rsid w:val="00073DCF"/>
    <w:rsid w:val="000C2499"/>
    <w:rsid w:val="000D179A"/>
    <w:rsid w:val="000D3E0E"/>
    <w:rsid w:val="000D754C"/>
    <w:rsid w:val="000F2A1B"/>
    <w:rsid w:val="000F3F81"/>
    <w:rsid w:val="00102A65"/>
    <w:rsid w:val="00103468"/>
    <w:rsid w:val="00103791"/>
    <w:rsid w:val="00111298"/>
    <w:rsid w:val="00120C77"/>
    <w:rsid w:val="00126C85"/>
    <w:rsid w:val="00131BC0"/>
    <w:rsid w:val="00141A70"/>
    <w:rsid w:val="00145A8E"/>
    <w:rsid w:val="00147A5C"/>
    <w:rsid w:val="00152575"/>
    <w:rsid w:val="00154A56"/>
    <w:rsid w:val="00156F6D"/>
    <w:rsid w:val="00177E7F"/>
    <w:rsid w:val="00190D73"/>
    <w:rsid w:val="00197D07"/>
    <w:rsid w:val="001A079F"/>
    <w:rsid w:val="001A11FA"/>
    <w:rsid w:val="001A4C24"/>
    <w:rsid w:val="001C6446"/>
    <w:rsid w:val="001D4CF2"/>
    <w:rsid w:val="001E024F"/>
    <w:rsid w:val="001E3FA4"/>
    <w:rsid w:val="00211D07"/>
    <w:rsid w:val="002152B5"/>
    <w:rsid w:val="00223224"/>
    <w:rsid w:val="002249EF"/>
    <w:rsid w:val="00240F97"/>
    <w:rsid w:val="002557BF"/>
    <w:rsid w:val="0027424C"/>
    <w:rsid w:val="00275C68"/>
    <w:rsid w:val="00283F9A"/>
    <w:rsid w:val="00284DD7"/>
    <w:rsid w:val="002A3F79"/>
    <w:rsid w:val="002B6811"/>
    <w:rsid w:val="002D1E40"/>
    <w:rsid w:val="002D25C8"/>
    <w:rsid w:val="002E0815"/>
    <w:rsid w:val="002E3313"/>
    <w:rsid w:val="002F05B7"/>
    <w:rsid w:val="002F35A2"/>
    <w:rsid w:val="0034374B"/>
    <w:rsid w:val="00345E5D"/>
    <w:rsid w:val="00353710"/>
    <w:rsid w:val="003630CE"/>
    <w:rsid w:val="00382BA9"/>
    <w:rsid w:val="00396565"/>
    <w:rsid w:val="00396670"/>
    <w:rsid w:val="003A0D20"/>
    <w:rsid w:val="003B0B68"/>
    <w:rsid w:val="003B0DF6"/>
    <w:rsid w:val="003B5B07"/>
    <w:rsid w:val="003C54C6"/>
    <w:rsid w:val="003E46E5"/>
    <w:rsid w:val="003F4DA2"/>
    <w:rsid w:val="00406C6C"/>
    <w:rsid w:val="00415F15"/>
    <w:rsid w:val="00420CEA"/>
    <w:rsid w:val="00430377"/>
    <w:rsid w:val="00433464"/>
    <w:rsid w:val="00433DB3"/>
    <w:rsid w:val="00453876"/>
    <w:rsid w:val="004614AD"/>
    <w:rsid w:val="004620F6"/>
    <w:rsid w:val="004637D1"/>
    <w:rsid w:val="00463F35"/>
    <w:rsid w:val="00470B0E"/>
    <w:rsid w:val="004809AB"/>
    <w:rsid w:val="004B0C05"/>
    <w:rsid w:val="004B2A5C"/>
    <w:rsid w:val="004B4958"/>
    <w:rsid w:val="004B68E8"/>
    <w:rsid w:val="004E18AF"/>
    <w:rsid w:val="004E498F"/>
    <w:rsid w:val="004E757E"/>
    <w:rsid w:val="004F2361"/>
    <w:rsid w:val="004F3995"/>
    <w:rsid w:val="00506687"/>
    <w:rsid w:val="00522D3C"/>
    <w:rsid w:val="00535A88"/>
    <w:rsid w:val="00542B1C"/>
    <w:rsid w:val="005550FE"/>
    <w:rsid w:val="00557675"/>
    <w:rsid w:val="005769B2"/>
    <w:rsid w:val="00577CF9"/>
    <w:rsid w:val="005B0D5B"/>
    <w:rsid w:val="005E17C5"/>
    <w:rsid w:val="005E7A5D"/>
    <w:rsid w:val="005F0FEB"/>
    <w:rsid w:val="00603DDB"/>
    <w:rsid w:val="00606108"/>
    <w:rsid w:val="0061797B"/>
    <w:rsid w:val="00627122"/>
    <w:rsid w:val="00636A49"/>
    <w:rsid w:val="00643543"/>
    <w:rsid w:val="00653E49"/>
    <w:rsid w:val="0067042F"/>
    <w:rsid w:val="00670FC5"/>
    <w:rsid w:val="00682385"/>
    <w:rsid w:val="0068441D"/>
    <w:rsid w:val="0069383F"/>
    <w:rsid w:val="006A02B2"/>
    <w:rsid w:val="006A5DD8"/>
    <w:rsid w:val="006B1081"/>
    <w:rsid w:val="006C3FC9"/>
    <w:rsid w:val="006C5993"/>
    <w:rsid w:val="006D2D04"/>
    <w:rsid w:val="006D5817"/>
    <w:rsid w:val="006E3A38"/>
    <w:rsid w:val="006E77E9"/>
    <w:rsid w:val="00711238"/>
    <w:rsid w:val="00711703"/>
    <w:rsid w:val="0073042E"/>
    <w:rsid w:val="007561D7"/>
    <w:rsid w:val="0076209A"/>
    <w:rsid w:val="007A4A2D"/>
    <w:rsid w:val="007C369E"/>
    <w:rsid w:val="007D07F4"/>
    <w:rsid w:val="007D1CEE"/>
    <w:rsid w:val="007D6C8E"/>
    <w:rsid w:val="007D73F8"/>
    <w:rsid w:val="007E1308"/>
    <w:rsid w:val="007E2966"/>
    <w:rsid w:val="007E3EB2"/>
    <w:rsid w:val="007F5545"/>
    <w:rsid w:val="0081142C"/>
    <w:rsid w:val="00814130"/>
    <w:rsid w:val="008279A8"/>
    <w:rsid w:val="008304B3"/>
    <w:rsid w:val="00831B5E"/>
    <w:rsid w:val="00831B70"/>
    <w:rsid w:val="008614AD"/>
    <w:rsid w:val="008705BC"/>
    <w:rsid w:val="0088554E"/>
    <w:rsid w:val="00885D8C"/>
    <w:rsid w:val="00891632"/>
    <w:rsid w:val="00894BA6"/>
    <w:rsid w:val="008A10E3"/>
    <w:rsid w:val="008D36EB"/>
    <w:rsid w:val="008E1327"/>
    <w:rsid w:val="008E4481"/>
    <w:rsid w:val="008F1070"/>
    <w:rsid w:val="0090723B"/>
    <w:rsid w:val="00923A9D"/>
    <w:rsid w:val="00930E29"/>
    <w:rsid w:val="009469A2"/>
    <w:rsid w:val="00970417"/>
    <w:rsid w:val="00972519"/>
    <w:rsid w:val="009727CA"/>
    <w:rsid w:val="00976B9B"/>
    <w:rsid w:val="009A378C"/>
    <w:rsid w:val="009B3C6E"/>
    <w:rsid w:val="009B459B"/>
    <w:rsid w:val="009C4198"/>
    <w:rsid w:val="009D431B"/>
    <w:rsid w:val="009D66BE"/>
    <w:rsid w:val="00A17EAC"/>
    <w:rsid w:val="00A2250B"/>
    <w:rsid w:val="00A3273C"/>
    <w:rsid w:val="00A410D2"/>
    <w:rsid w:val="00A45BDC"/>
    <w:rsid w:val="00A52170"/>
    <w:rsid w:val="00A62E39"/>
    <w:rsid w:val="00A7329A"/>
    <w:rsid w:val="00A8274F"/>
    <w:rsid w:val="00A87DBC"/>
    <w:rsid w:val="00A966CA"/>
    <w:rsid w:val="00AA6904"/>
    <w:rsid w:val="00AB5B63"/>
    <w:rsid w:val="00AD3DDC"/>
    <w:rsid w:val="00AD6294"/>
    <w:rsid w:val="00AE2DF3"/>
    <w:rsid w:val="00AF084F"/>
    <w:rsid w:val="00B23697"/>
    <w:rsid w:val="00B23A52"/>
    <w:rsid w:val="00B309BC"/>
    <w:rsid w:val="00B33248"/>
    <w:rsid w:val="00B34950"/>
    <w:rsid w:val="00B3496C"/>
    <w:rsid w:val="00B40B4E"/>
    <w:rsid w:val="00B40B65"/>
    <w:rsid w:val="00B53C41"/>
    <w:rsid w:val="00B55CF0"/>
    <w:rsid w:val="00B63826"/>
    <w:rsid w:val="00B73FD6"/>
    <w:rsid w:val="00B77FE2"/>
    <w:rsid w:val="00B90B3B"/>
    <w:rsid w:val="00BA5E1B"/>
    <w:rsid w:val="00BC0249"/>
    <w:rsid w:val="00BC08FA"/>
    <w:rsid w:val="00BC33E0"/>
    <w:rsid w:val="00BC40AB"/>
    <w:rsid w:val="00BD50BD"/>
    <w:rsid w:val="00BE1A0A"/>
    <w:rsid w:val="00BE27A6"/>
    <w:rsid w:val="00C05AA2"/>
    <w:rsid w:val="00C15C2B"/>
    <w:rsid w:val="00C16CF4"/>
    <w:rsid w:val="00C171ED"/>
    <w:rsid w:val="00C25769"/>
    <w:rsid w:val="00C56E4C"/>
    <w:rsid w:val="00C6366D"/>
    <w:rsid w:val="00CA08B6"/>
    <w:rsid w:val="00CA5274"/>
    <w:rsid w:val="00CE1F26"/>
    <w:rsid w:val="00CE1F35"/>
    <w:rsid w:val="00CE4365"/>
    <w:rsid w:val="00CF4E8B"/>
    <w:rsid w:val="00D176CC"/>
    <w:rsid w:val="00D20A09"/>
    <w:rsid w:val="00D20B41"/>
    <w:rsid w:val="00D24319"/>
    <w:rsid w:val="00D25729"/>
    <w:rsid w:val="00D32E1E"/>
    <w:rsid w:val="00D604EB"/>
    <w:rsid w:val="00D73C48"/>
    <w:rsid w:val="00DC0895"/>
    <w:rsid w:val="00DC54BC"/>
    <w:rsid w:val="00DC6563"/>
    <w:rsid w:val="00DD4802"/>
    <w:rsid w:val="00DD6978"/>
    <w:rsid w:val="00DD7E8A"/>
    <w:rsid w:val="00DE0883"/>
    <w:rsid w:val="00DE4B7D"/>
    <w:rsid w:val="00DF37E2"/>
    <w:rsid w:val="00E06BFF"/>
    <w:rsid w:val="00E2146D"/>
    <w:rsid w:val="00E22C90"/>
    <w:rsid w:val="00E25637"/>
    <w:rsid w:val="00E31049"/>
    <w:rsid w:val="00E56FF5"/>
    <w:rsid w:val="00E623A1"/>
    <w:rsid w:val="00E74A27"/>
    <w:rsid w:val="00E80195"/>
    <w:rsid w:val="00E8509B"/>
    <w:rsid w:val="00EB1E31"/>
    <w:rsid w:val="00EB3BD9"/>
    <w:rsid w:val="00EC0529"/>
    <w:rsid w:val="00ED2CDB"/>
    <w:rsid w:val="00EE4014"/>
    <w:rsid w:val="00EE66A5"/>
    <w:rsid w:val="00F042C9"/>
    <w:rsid w:val="00F070AF"/>
    <w:rsid w:val="00F23954"/>
    <w:rsid w:val="00F23B24"/>
    <w:rsid w:val="00F2420C"/>
    <w:rsid w:val="00F27E18"/>
    <w:rsid w:val="00F3177C"/>
    <w:rsid w:val="00F52371"/>
    <w:rsid w:val="00F55EB6"/>
    <w:rsid w:val="00F757A9"/>
    <w:rsid w:val="00F93297"/>
    <w:rsid w:val="00FB13FD"/>
    <w:rsid w:val="00FB373B"/>
    <w:rsid w:val="00FC1A62"/>
    <w:rsid w:val="00FF121C"/>
    <w:rsid w:val="00FF304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C"/>
  </w:style>
  <w:style w:type="paragraph" w:styleId="Heading2">
    <w:name w:val="heading 2"/>
    <w:basedOn w:val="Normal"/>
    <w:link w:val="Heading2Char"/>
    <w:uiPriority w:val="9"/>
    <w:qFormat/>
    <w:rsid w:val="00A2250B"/>
    <w:pPr>
      <w:spacing w:before="45"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3FA4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E3FA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E3FA4"/>
  </w:style>
  <w:style w:type="character" w:customStyle="1" w:styleId="Heading2Char">
    <w:name w:val="Heading 2 Char"/>
    <w:basedOn w:val="DefaultParagraphFont"/>
    <w:link w:val="Heading2"/>
    <w:uiPriority w:val="9"/>
    <w:rsid w:val="00A2250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82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326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827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etwork_security" TargetMode="External"/><Relationship Id="rId13" Type="http://schemas.openxmlformats.org/officeDocument/2006/relationships/hyperlink" Target="http://en.wikipedia.org/wiki/Deep_packet_inspection" TargetMode="External"/><Relationship Id="rId18" Type="http://schemas.openxmlformats.org/officeDocument/2006/relationships/hyperlink" Target="http://en.wikipedia.org/wiki/Dec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sun.com/app/docs/doc/819-7309/txnet-34?l=ru&amp;a=view" TargetMode="External"/><Relationship Id="rId7" Type="http://schemas.openxmlformats.org/officeDocument/2006/relationships/hyperlink" Target="http://en.wikipedia.org/wiki/Firewall_%28networking%29" TargetMode="External"/><Relationship Id="rId12" Type="http://schemas.openxmlformats.org/officeDocument/2006/relationships/hyperlink" Target="http://en.wikipedia.org/wiki/Malware" TargetMode="External"/><Relationship Id="rId17" Type="http://schemas.openxmlformats.org/officeDocument/2006/relationships/hyperlink" Target="http://en.wikipedia.org/wiki/Honeypot_%28computing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Virtual_private_network" TargetMode="External"/><Relationship Id="rId20" Type="http://schemas.openxmlformats.org/officeDocument/2006/relationships/hyperlink" Target="http://en.wikipedia.org/wiki/Network_secur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uthentication" TargetMode="External"/><Relationship Id="rId11" Type="http://schemas.openxmlformats.org/officeDocument/2006/relationships/hyperlink" Target="http://en.wikipedia.org/wiki/Network_security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en.wikipedia.org/wiki/Denial_of_servi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Intrusion_prevention_system" TargetMode="External"/><Relationship Id="rId19" Type="http://schemas.openxmlformats.org/officeDocument/2006/relationships/hyperlink" Target="http://en.wikipedia.org/wiki/Exploit_%28computer_security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mputer_worm" TargetMode="External"/><Relationship Id="rId14" Type="http://schemas.openxmlformats.org/officeDocument/2006/relationships/hyperlink" Target="http://en.wikipedia.org/wiki/Anomaly-based_intrusion_detection_syst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Nevo</dc:creator>
  <cp:lastModifiedBy>Ron Nevo</cp:lastModifiedBy>
  <cp:revision>3</cp:revision>
  <dcterms:created xsi:type="dcterms:W3CDTF">2008-04-10T17:18:00Z</dcterms:created>
  <dcterms:modified xsi:type="dcterms:W3CDTF">2008-04-10T18:00:00Z</dcterms:modified>
</cp:coreProperties>
</file>